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F1" w:rsidRDefault="00AF4DF1" w:rsidP="00AF4D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AF4DF1" w:rsidRDefault="00AF4DF1" w:rsidP="00AF4DF1">
      <w:pPr>
        <w:jc w:val="center"/>
        <w:rPr>
          <w:sz w:val="16"/>
          <w:szCs w:val="16"/>
        </w:rPr>
      </w:pPr>
    </w:p>
    <w:p w:rsidR="00AF4DF1" w:rsidRDefault="00AF4DF1" w:rsidP="00AF4DF1">
      <w:pPr>
        <w:ind w:left="113" w:right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 xml:space="preserve"> – La presente scheda è da compilare obbligatoriamente </w:t>
      </w:r>
      <w:r>
        <w:rPr>
          <w:bCs/>
          <w:sz w:val="20"/>
          <w:szCs w:val="20"/>
        </w:rPr>
        <w:t>in tutte le sue parti</w:t>
      </w:r>
      <w:r>
        <w:rPr>
          <w:sz w:val="20"/>
          <w:szCs w:val="20"/>
        </w:rPr>
        <w:t>, in quanto i dati in essa inseriti sono richiesti sia per le esigenze interne all’Ateneo, sia dal</w:t>
      </w:r>
      <w:r>
        <w:rPr>
          <w:bCs/>
          <w:sz w:val="20"/>
          <w:szCs w:val="20"/>
        </w:rPr>
        <w:t xml:space="preserve">l'Anagrafe nazionale docenti, sia dal CINECA. </w:t>
      </w:r>
      <w:r>
        <w:rPr>
          <w:sz w:val="20"/>
          <w:szCs w:val="20"/>
        </w:rPr>
        <w:t xml:space="preserve">Si prega inoltre di compilare i campi utilizzando il carattere </w:t>
      </w:r>
      <w:r>
        <w:rPr>
          <w:b/>
          <w:sz w:val="20"/>
          <w:szCs w:val="20"/>
        </w:rPr>
        <w:t>Times New Roman, stile Normale a dimensione 10</w:t>
      </w:r>
      <w:r>
        <w:rPr>
          <w:sz w:val="20"/>
          <w:szCs w:val="20"/>
        </w:rPr>
        <w:t xml:space="preserve">, inserendo in ciascun campo al </w:t>
      </w:r>
      <w:r>
        <w:rPr>
          <w:b/>
          <w:sz w:val="20"/>
          <w:szCs w:val="20"/>
        </w:rPr>
        <w:t>massimo 1900 caratteri, spazi inclusi</w:t>
      </w:r>
      <w:r>
        <w:rPr>
          <w:sz w:val="20"/>
          <w:szCs w:val="20"/>
        </w:rPr>
        <w:t>. La scheda è da inserire a propria cura sia nello spazio docente di  Esse3 sia della pagina del programma nella sezione bacheca-studenti del sito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</w:t>
      </w:r>
      <w:r>
        <w:rPr>
          <w:rFonts w:eastAsia="Arial Unicode MS"/>
          <w:color w:val="000000"/>
          <w:sz w:val="20"/>
        </w:rPr>
        <w:t xml:space="preserve"> docenti contitolari di un insegnamento dovranno inviare un’unica scheda. È  necessario allegare un curriculum vitae del Docente titolare dell’insegnamento e dell’eventuale cultore della materia.</w:t>
      </w:r>
    </w:p>
    <w:p w:rsidR="00AF4DF1" w:rsidRDefault="00AF4DF1" w:rsidP="00AF4DF1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/>
      </w:tblPr>
      <w:tblGrid>
        <w:gridCol w:w="4247"/>
        <w:gridCol w:w="6660"/>
      </w:tblGrid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AF4DF1" w:rsidRPr="00060E00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AF4DF1" w:rsidRDefault="00AF4DF1" w:rsidP="008468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</w:p>
          <w:p w:rsidR="00AF4DF1" w:rsidRPr="006E143C" w:rsidRDefault="00AF4DF1" w:rsidP="008468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(classe LM-94 – Traduzione specialistica e interpretariato)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AF4DF1" w:rsidRDefault="00AF4DF1" w:rsidP="00AF4DF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Anno Accademico 2017/2018 -  II anno (1° e 2° semestre)</w:t>
            </w:r>
          </w:p>
        </w:tc>
      </w:tr>
      <w:tr w:rsidR="00AF4DF1" w:rsidTr="0084683A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Francese II</w:t>
            </w:r>
          </w:p>
        </w:tc>
      </w:tr>
      <w:tr w:rsidR="00AF4DF1" w:rsidTr="0084683A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Language II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Annuale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60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L-LIN/04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(CFU)/ECTS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AF4DF1" w:rsidRDefault="00AF4DF1" w:rsidP="00563191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Labadessa Paola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paolalabadessa@tiscali.it</w:t>
            </w:r>
          </w:p>
        </w:tc>
      </w:tr>
      <w:tr w:rsidR="00AF4DF1" w:rsidTr="0084683A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AF4DF1" w:rsidRDefault="00AF4DF1" w:rsidP="00563191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corso verte all’approfondimento </w:t>
            </w:r>
            <w:r w:rsidRPr="009F54AF">
              <w:rPr>
                <w:sz w:val="20"/>
                <w:szCs w:val="20"/>
              </w:rPr>
              <w:t xml:space="preserve">delle competenze linguistiche </w:t>
            </w:r>
            <w:r>
              <w:rPr>
                <w:sz w:val="20"/>
                <w:szCs w:val="20"/>
              </w:rPr>
              <w:t>finalizzate, in modo particolare, ad attività traduttive e interpretative. A tal riguardo</w:t>
            </w:r>
            <w:r w:rsidRPr="009F54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saranno </w:t>
            </w:r>
            <w:r w:rsidR="008C61DA">
              <w:rPr>
                <w:sz w:val="20"/>
                <w:szCs w:val="20"/>
              </w:rPr>
              <w:t>potenziati</w:t>
            </w:r>
            <w:r>
              <w:rPr>
                <w:sz w:val="20"/>
                <w:szCs w:val="20"/>
              </w:rPr>
              <w:t xml:space="preserve"> gli aspetti fonetici e fonologici, </w:t>
            </w:r>
            <w:r w:rsidRPr="009F54AF">
              <w:rPr>
                <w:sz w:val="20"/>
                <w:szCs w:val="20"/>
              </w:rPr>
              <w:t>morfosintattici e lessicali della lingua,</w:t>
            </w:r>
            <w:r>
              <w:rPr>
                <w:sz w:val="20"/>
                <w:szCs w:val="20"/>
              </w:rPr>
              <w:t xml:space="preserve"> con attenzione anche a linguaggi specialistici.</w:t>
            </w:r>
          </w:p>
          <w:p w:rsidR="00AF4DF1" w:rsidRDefault="00AF4DF1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lezioni prevedono una parte teorica </w:t>
            </w:r>
            <w:r w:rsidR="00563191">
              <w:rPr>
                <w:sz w:val="20"/>
                <w:szCs w:val="20"/>
              </w:rPr>
              <w:t xml:space="preserve">in cui </w:t>
            </w:r>
            <w:r w:rsidR="008C61DA">
              <w:rPr>
                <w:sz w:val="20"/>
                <w:szCs w:val="20"/>
              </w:rPr>
              <w:t xml:space="preserve">proseguirà l’approfondimento di </w:t>
            </w:r>
            <w:r>
              <w:rPr>
                <w:sz w:val="20"/>
                <w:szCs w:val="20"/>
              </w:rPr>
              <w:t xml:space="preserve">questioni, metodologia e problematiche connesse alla traduzione e all’interpretazione dall’italiano al francese e viceversa, ed una parte pratica con esercitazioni di analisi linguistica e traduzione di diverse tipologie testuali. A tale scopo saranno utilizzati documenti autentici, anche tratti dal web, inerenti ambiti </w:t>
            </w:r>
            <w:r w:rsidRPr="009A50F9">
              <w:rPr>
                <w:sz w:val="20"/>
                <w:szCs w:val="20"/>
              </w:rPr>
              <w:t>politico</w:t>
            </w:r>
            <w:r w:rsidR="00C17695">
              <w:rPr>
                <w:sz w:val="20"/>
                <w:szCs w:val="20"/>
              </w:rPr>
              <w:t>-giuridico</w:t>
            </w:r>
            <w:r w:rsidRPr="009A50F9">
              <w:rPr>
                <w:sz w:val="20"/>
                <w:szCs w:val="20"/>
              </w:rPr>
              <w:t>, culturale</w:t>
            </w:r>
            <w:r>
              <w:rPr>
                <w:sz w:val="20"/>
                <w:szCs w:val="20"/>
              </w:rPr>
              <w:t xml:space="preserve">, </w:t>
            </w:r>
            <w:r w:rsidR="008C61DA">
              <w:rPr>
                <w:sz w:val="20"/>
                <w:szCs w:val="20"/>
              </w:rPr>
              <w:t>mediatico</w:t>
            </w:r>
            <w:r w:rsidR="00C176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di attualità</w:t>
            </w:r>
            <w:r w:rsidR="008C61D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ed inoltre estratti audio e video di discorsi originali</w:t>
            </w:r>
            <w:r w:rsidRPr="009A50F9">
              <w:rPr>
                <w:sz w:val="20"/>
                <w:szCs w:val="20"/>
              </w:rPr>
              <w:t>.</w:t>
            </w:r>
          </w:p>
          <w:p w:rsidR="00AF4DF1" w:rsidRDefault="00AF4DF1" w:rsidP="008468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previste simulazioni ed attività di interpretazione consecutiva e simultanea accompagnate da esercitazioni connesse alla lingua in questione,</w:t>
            </w:r>
            <w:r w:rsidR="008C61DA">
              <w:rPr>
                <w:sz w:val="20"/>
                <w:szCs w:val="20"/>
              </w:rPr>
              <w:t xml:space="preserve"> con particolare attenzione al</w:t>
            </w:r>
            <w:r>
              <w:rPr>
                <w:sz w:val="20"/>
                <w:szCs w:val="20"/>
              </w:rPr>
              <w:t xml:space="preserve"> fraseologia </w:t>
            </w:r>
            <w:r w:rsidR="008C61DA">
              <w:rPr>
                <w:sz w:val="20"/>
                <w:szCs w:val="20"/>
              </w:rPr>
              <w:t xml:space="preserve">e lessico </w:t>
            </w:r>
            <w:r>
              <w:rPr>
                <w:sz w:val="20"/>
                <w:szCs w:val="20"/>
              </w:rPr>
              <w:t>inerent</w:t>
            </w:r>
            <w:r w:rsidR="008C61D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eventi specifici e tematiche di settore</w:t>
            </w:r>
            <w:r w:rsidR="00563191">
              <w:rPr>
                <w:sz w:val="20"/>
                <w:szCs w:val="20"/>
              </w:rPr>
              <w:t xml:space="preserve"> - con uno sguardo anche alle varianti del </w:t>
            </w:r>
            <w:r w:rsidR="00563191" w:rsidRPr="00563191">
              <w:rPr>
                <w:i/>
                <w:sz w:val="20"/>
                <w:szCs w:val="20"/>
              </w:rPr>
              <w:t>français standard</w:t>
            </w:r>
            <w:r w:rsidR="0056319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.</w:t>
            </w:r>
          </w:p>
          <w:p w:rsidR="00AF4DF1" w:rsidRDefault="00AF4DF1" w:rsidP="008C6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 </w:t>
            </w:r>
            <w:r w:rsidR="008C61DA">
              <w:rPr>
                <w:sz w:val="20"/>
                <w:szCs w:val="20"/>
              </w:rPr>
              <w:t>cenno</w:t>
            </w:r>
            <w:r>
              <w:rPr>
                <w:sz w:val="20"/>
                <w:szCs w:val="20"/>
              </w:rPr>
              <w:t xml:space="preserve"> sarà riserva</w:t>
            </w:r>
            <w:r w:rsidR="008C61DA">
              <w:rPr>
                <w:sz w:val="20"/>
                <w:szCs w:val="20"/>
              </w:rPr>
              <w:t xml:space="preserve">to anche a risorse informatiche </w:t>
            </w:r>
            <w:r>
              <w:rPr>
                <w:sz w:val="20"/>
                <w:szCs w:val="20"/>
              </w:rPr>
              <w:t>e online a supporto del lavoro dell’interprete e del traduttore.</w:t>
            </w:r>
          </w:p>
        </w:tc>
      </w:tr>
      <w:tr w:rsidR="00AF4DF1" w:rsidRPr="00563191" w:rsidTr="0084683A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Default="00AF4DF1" w:rsidP="0084683A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>The course focuses on strengthening language skills aimed, in particular, to translational and interpret</w:t>
            </w:r>
            <w:r w:rsidR="00E71DC3">
              <w:rPr>
                <w:sz w:val="20"/>
                <w:szCs w:val="20"/>
                <w:lang w:val="en-US"/>
              </w:rPr>
              <w:t>at</w:t>
            </w:r>
            <w:r w:rsidRPr="001A4773">
              <w:rPr>
                <w:sz w:val="20"/>
                <w:szCs w:val="20"/>
                <w:lang w:val="en-US"/>
              </w:rPr>
              <w:t>ive activities. For this purpose phonetic and phonological, morphosyntactic and lexical aspects of the  language will be processed and consolidated, with attention to specialized languages.</w:t>
            </w:r>
            <w:r w:rsidRPr="001A4773">
              <w:rPr>
                <w:sz w:val="20"/>
                <w:szCs w:val="20"/>
                <w:lang w:val="en-US"/>
              </w:rPr>
              <w:br/>
              <w:t xml:space="preserve">Lessons include </w:t>
            </w:r>
            <w:r w:rsidR="00563191">
              <w:rPr>
                <w:sz w:val="20"/>
                <w:szCs w:val="20"/>
                <w:lang w:val="en-US"/>
              </w:rPr>
              <w:t xml:space="preserve">theoretical deepening </w:t>
            </w:r>
            <w:r w:rsidRPr="001A4773">
              <w:rPr>
                <w:sz w:val="20"/>
                <w:szCs w:val="20"/>
                <w:lang w:val="en-US"/>
              </w:rPr>
              <w:t xml:space="preserve">about issues, methodology and </w:t>
            </w:r>
            <w:r>
              <w:rPr>
                <w:sz w:val="20"/>
                <w:szCs w:val="20"/>
                <w:lang w:val="en-US"/>
              </w:rPr>
              <w:t>questions</w:t>
            </w:r>
            <w:r w:rsidRPr="001A4773">
              <w:rPr>
                <w:sz w:val="20"/>
                <w:szCs w:val="20"/>
                <w:lang w:val="en-US"/>
              </w:rPr>
              <w:t xml:space="preserve"> related to translation and interpretation from Italian to French and vice versa, and a practical part with exercises of linguistic analysis and translation of different text types. </w:t>
            </w:r>
            <w:r w:rsidR="00E71DC3">
              <w:rPr>
                <w:sz w:val="20"/>
                <w:szCs w:val="20"/>
                <w:lang w:val="en-US"/>
              </w:rPr>
              <w:t>W</w:t>
            </w:r>
            <w:r w:rsidRPr="001A4773">
              <w:rPr>
                <w:sz w:val="20"/>
                <w:szCs w:val="20"/>
                <w:lang w:val="en-US"/>
              </w:rPr>
              <w:t xml:space="preserve">e will use authentic documents, also taken from the web, related to </w:t>
            </w:r>
            <w:r w:rsidR="00563191">
              <w:rPr>
                <w:sz w:val="20"/>
                <w:szCs w:val="20"/>
                <w:lang w:val="en-US"/>
              </w:rPr>
              <w:t>politics</w:t>
            </w:r>
            <w:r w:rsidRPr="001A4773">
              <w:rPr>
                <w:sz w:val="20"/>
                <w:szCs w:val="20"/>
                <w:lang w:val="en-US"/>
              </w:rPr>
              <w:t xml:space="preserve">, </w:t>
            </w:r>
            <w:r w:rsidR="00563191">
              <w:rPr>
                <w:sz w:val="20"/>
                <w:szCs w:val="20"/>
                <w:lang w:val="en-US"/>
              </w:rPr>
              <w:t>law</w:t>
            </w:r>
            <w:r w:rsidRPr="001A4773">
              <w:rPr>
                <w:sz w:val="20"/>
                <w:szCs w:val="20"/>
                <w:lang w:val="en-US"/>
              </w:rPr>
              <w:t>, cultur</w:t>
            </w:r>
            <w:r w:rsidR="00563191">
              <w:rPr>
                <w:sz w:val="20"/>
                <w:szCs w:val="20"/>
                <w:lang w:val="en-US"/>
              </w:rPr>
              <w:t>e</w:t>
            </w:r>
            <w:r w:rsidRPr="001A4773">
              <w:rPr>
                <w:sz w:val="20"/>
                <w:szCs w:val="20"/>
                <w:lang w:val="en-US"/>
              </w:rPr>
              <w:t xml:space="preserve">, </w:t>
            </w:r>
            <w:r w:rsidR="00563191">
              <w:rPr>
                <w:sz w:val="20"/>
                <w:szCs w:val="20"/>
                <w:lang w:val="en-US"/>
              </w:rPr>
              <w:t xml:space="preserve">media and </w:t>
            </w:r>
            <w:r w:rsidRPr="001A4773">
              <w:rPr>
                <w:sz w:val="20"/>
                <w:szCs w:val="20"/>
                <w:lang w:val="en-US"/>
              </w:rPr>
              <w:t xml:space="preserve">topical </w:t>
            </w:r>
            <w:r w:rsidR="00563191">
              <w:rPr>
                <w:sz w:val="20"/>
                <w:szCs w:val="20"/>
                <w:lang w:val="en-US"/>
              </w:rPr>
              <w:t>issues</w:t>
            </w:r>
            <w:r w:rsidRPr="001A4773">
              <w:rPr>
                <w:sz w:val="20"/>
                <w:szCs w:val="20"/>
                <w:lang w:val="en-US"/>
              </w:rPr>
              <w:t xml:space="preserve">, and video and audio </w:t>
            </w:r>
            <w:r w:rsidR="00E71DC3">
              <w:rPr>
                <w:sz w:val="20"/>
                <w:szCs w:val="20"/>
                <w:lang w:val="en-US"/>
              </w:rPr>
              <w:t xml:space="preserve">extracts </w:t>
            </w:r>
            <w:r w:rsidRPr="001A4773">
              <w:rPr>
                <w:sz w:val="20"/>
                <w:szCs w:val="20"/>
                <w:lang w:val="en-US"/>
              </w:rPr>
              <w:t>from original speeches.</w:t>
            </w:r>
          </w:p>
          <w:p w:rsidR="00AF4DF1" w:rsidRDefault="00AF4DF1" w:rsidP="00C74F10">
            <w:pPr>
              <w:jc w:val="both"/>
              <w:rPr>
                <w:sz w:val="20"/>
                <w:szCs w:val="20"/>
                <w:lang w:val="en-US"/>
              </w:rPr>
            </w:pPr>
            <w:r w:rsidRPr="001A4773">
              <w:rPr>
                <w:sz w:val="20"/>
                <w:szCs w:val="20"/>
                <w:lang w:val="en-US"/>
              </w:rPr>
              <w:t xml:space="preserve">Simulations and consecutive and simultaneous interpreting activities will be practiced </w:t>
            </w:r>
            <w:r w:rsidR="00AE09BA">
              <w:rPr>
                <w:sz w:val="20"/>
                <w:szCs w:val="20"/>
                <w:lang w:val="en-US"/>
              </w:rPr>
              <w:t>together with</w:t>
            </w:r>
            <w:r w:rsidRPr="001A4773">
              <w:rPr>
                <w:sz w:val="20"/>
                <w:szCs w:val="20"/>
                <w:lang w:val="en-US"/>
              </w:rPr>
              <w:t xml:space="preserve"> exercises </w:t>
            </w:r>
            <w:r w:rsidR="00563191">
              <w:rPr>
                <w:sz w:val="20"/>
                <w:szCs w:val="20"/>
                <w:lang w:val="en-US"/>
              </w:rPr>
              <w:t xml:space="preserve">on French language </w:t>
            </w:r>
            <w:r w:rsidRPr="001A4773">
              <w:rPr>
                <w:sz w:val="20"/>
                <w:szCs w:val="20"/>
                <w:lang w:val="en-US"/>
              </w:rPr>
              <w:t xml:space="preserve">with a particular attention to phraseology </w:t>
            </w:r>
            <w:r w:rsidR="00563191">
              <w:rPr>
                <w:sz w:val="20"/>
                <w:szCs w:val="20"/>
                <w:lang w:val="en-US"/>
              </w:rPr>
              <w:t xml:space="preserve">and vocabulary about </w:t>
            </w:r>
            <w:r w:rsidRPr="001A4773">
              <w:rPr>
                <w:sz w:val="20"/>
                <w:szCs w:val="20"/>
                <w:lang w:val="en-US"/>
              </w:rPr>
              <w:t xml:space="preserve">specific events and </w:t>
            </w:r>
            <w:r>
              <w:rPr>
                <w:sz w:val="20"/>
                <w:szCs w:val="20"/>
                <w:lang w:val="en-US"/>
              </w:rPr>
              <w:t>contexts</w:t>
            </w:r>
            <w:r w:rsidR="00563191">
              <w:rPr>
                <w:sz w:val="20"/>
                <w:szCs w:val="20"/>
                <w:lang w:val="en-US"/>
              </w:rPr>
              <w:t xml:space="preserve"> - a look will be given to the variants of the </w:t>
            </w:r>
            <w:r w:rsidR="00563191" w:rsidRPr="00563191">
              <w:rPr>
                <w:i/>
                <w:sz w:val="20"/>
                <w:szCs w:val="20"/>
                <w:lang w:val="en-US"/>
              </w:rPr>
              <w:t>français standard</w:t>
            </w:r>
            <w:r w:rsidR="00563191">
              <w:rPr>
                <w:sz w:val="20"/>
                <w:szCs w:val="20"/>
                <w:lang w:val="en-US"/>
              </w:rPr>
              <w:t xml:space="preserve"> - </w:t>
            </w:r>
            <w:r w:rsidRPr="001A4773">
              <w:rPr>
                <w:sz w:val="20"/>
                <w:szCs w:val="20"/>
                <w:lang w:val="en-US"/>
              </w:rPr>
              <w:t>.</w:t>
            </w:r>
          </w:p>
          <w:p w:rsidR="00AF4DF1" w:rsidRPr="00236EF7" w:rsidRDefault="00AF4DF1" w:rsidP="00AE09BA">
            <w:pPr>
              <w:rPr>
                <w:sz w:val="20"/>
                <w:szCs w:val="20"/>
                <w:lang w:val="en-US"/>
              </w:rPr>
            </w:pPr>
            <w:r w:rsidRPr="00236EF7">
              <w:rPr>
                <w:sz w:val="20"/>
                <w:szCs w:val="20"/>
                <w:lang w:val="en-US"/>
              </w:rPr>
              <w:t xml:space="preserve">A </w:t>
            </w:r>
            <w:r w:rsidR="00AE09BA">
              <w:rPr>
                <w:sz w:val="20"/>
                <w:szCs w:val="20"/>
                <w:lang w:val="en-US"/>
              </w:rPr>
              <w:t>mention</w:t>
            </w:r>
            <w:r>
              <w:rPr>
                <w:sz w:val="20"/>
                <w:szCs w:val="20"/>
                <w:lang w:val="en-US"/>
              </w:rPr>
              <w:t xml:space="preserve"> will </w:t>
            </w:r>
            <w:r w:rsidRPr="00236EF7">
              <w:rPr>
                <w:sz w:val="20"/>
                <w:szCs w:val="20"/>
                <w:lang w:val="en-US"/>
              </w:rPr>
              <w:t xml:space="preserve">also be reserved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36EF7">
              <w:rPr>
                <w:sz w:val="20"/>
                <w:szCs w:val="20"/>
                <w:lang w:val="en-US"/>
              </w:rPr>
              <w:t xml:space="preserve"> computer and online resources to support the work of the interpreter and translator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AF4DF1" w:rsidRPr="00C17695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AF4DF1" w:rsidRDefault="00AF4DF1" w:rsidP="0084683A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AF4DF1" w:rsidRPr="00236EF7" w:rsidRDefault="00AF4DF1" w:rsidP="0084683A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Il docente metterà a disposizione degli studenti materiali didattici e dispense</w:t>
            </w:r>
            <w:r w:rsidR="00A11B4D">
              <w:rPr>
                <w:b w:val="0"/>
                <w:sz w:val="20"/>
              </w:rPr>
              <w:t xml:space="preserve"> e fornirà ulteriori materiali di approfondimento</w:t>
            </w:r>
            <w:r w:rsidRPr="00236EF7">
              <w:rPr>
                <w:b w:val="0"/>
                <w:sz w:val="20"/>
              </w:rPr>
              <w:t>.</w:t>
            </w:r>
          </w:p>
          <w:p w:rsidR="00AF4DF1" w:rsidRDefault="00AF4DF1" w:rsidP="0084683A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  <w:r w:rsidRPr="00236EF7">
              <w:rPr>
                <w:b w:val="0"/>
                <w:sz w:val="20"/>
              </w:rPr>
              <w:t>Nel corso delle lezioni saranno utilizzati testi, saggi, articoli e documenti audio-video.</w:t>
            </w:r>
          </w:p>
          <w:p w:rsidR="00153761" w:rsidRPr="00236EF7" w:rsidRDefault="00153761" w:rsidP="0084683A">
            <w:pPr>
              <w:pStyle w:val="Titolo"/>
              <w:tabs>
                <w:tab w:val="left" w:pos="1140"/>
              </w:tabs>
              <w:ind w:right="113"/>
              <w:jc w:val="both"/>
              <w:rPr>
                <w:b w:val="0"/>
                <w:sz w:val="20"/>
              </w:rPr>
            </w:pPr>
          </w:p>
          <w:p w:rsidR="009E364D" w:rsidRPr="009E364D" w:rsidRDefault="009E364D" w:rsidP="009E364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E364D">
              <w:rPr>
                <w:b/>
                <w:sz w:val="20"/>
                <w:szCs w:val="20"/>
                <w:lang w:val="fr-FR"/>
              </w:rPr>
              <w:t>Méthode:</w:t>
            </w:r>
          </w:p>
          <w:p w:rsidR="009E364D" w:rsidRDefault="009E364D" w:rsidP="009E364D">
            <w:pPr>
              <w:rPr>
                <w:sz w:val="20"/>
                <w:szCs w:val="20"/>
                <w:lang w:val="fr-FR"/>
              </w:rPr>
            </w:pPr>
            <w:r w:rsidRPr="00D8001C">
              <w:rPr>
                <w:sz w:val="20"/>
                <w:szCs w:val="20"/>
                <w:lang w:val="fr-FR"/>
              </w:rPr>
              <w:t>A. B</w:t>
            </w:r>
            <w:r>
              <w:rPr>
                <w:sz w:val="20"/>
                <w:szCs w:val="20"/>
                <w:lang w:val="fr-FR"/>
              </w:rPr>
              <w:t xml:space="preserve">ERTHET </w:t>
            </w:r>
            <w:r w:rsidRPr="00D8001C">
              <w:rPr>
                <w:sz w:val="20"/>
                <w:szCs w:val="20"/>
                <w:lang w:val="fr-FR"/>
              </w:rPr>
              <w:t xml:space="preserve">et </w:t>
            </w:r>
            <w:r w:rsidR="00352CDE">
              <w:rPr>
                <w:sz w:val="20"/>
                <w:szCs w:val="20"/>
                <w:lang w:val="fr-FR"/>
              </w:rPr>
              <w:t>LOUVEL C.</w:t>
            </w:r>
            <w:r w:rsidRPr="00D8001C">
              <w:rPr>
                <w:sz w:val="20"/>
                <w:szCs w:val="20"/>
                <w:lang w:val="fr-FR"/>
              </w:rPr>
              <w:t xml:space="preserve">, </w:t>
            </w:r>
            <w:r w:rsidRPr="00D8001C">
              <w:rPr>
                <w:i/>
                <w:sz w:val="20"/>
                <w:szCs w:val="20"/>
                <w:lang w:val="fr-FR"/>
              </w:rPr>
              <w:t xml:space="preserve">Alter ego </w:t>
            </w:r>
            <w:r>
              <w:rPr>
                <w:i/>
                <w:sz w:val="20"/>
                <w:szCs w:val="20"/>
                <w:lang w:val="fr-FR"/>
              </w:rPr>
              <w:t xml:space="preserve">5 </w:t>
            </w:r>
            <w:r w:rsidRPr="00D8001C">
              <w:rPr>
                <w:i/>
                <w:sz w:val="20"/>
                <w:szCs w:val="20"/>
                <w:lang w:val="fr-FR"/>
              </w:rPr>
              <w:t>C1-C2</w:t>
            </w:r>
            <w:r w:rsidR="00352CDE">
              <w:rPr>
                <w:sz w:val="20"/>
                <w:szCs w:val="20"/>
                <w:lang w:val="fr-FR"/>
              </w:rPr>
              <w:t xml:space="preserve">. </w:t>
            </w:r>
            <w:r w:rsidR="00352CDE" w:rsidRPr="00352CDE">
              <w:rPr>
                <w:i/>
                <w:sz w:val="20"/>
                <w:szCs w:val="20"/>
                <w:lang w:val="fr-FR"/>
              </w:rPr>
              <w:t>Cahier de perfectionnement</w:t>
            </w:r>
            <w:r w:rsidR="00352CDE">
              <w:rPr>
                <w:sz w:val="20"/>
                <w:szCs w:val="20"/>
                <w:lang w:val="fr-FR"/>
              </w:rPr>
              <w:t xml:space="preserve">, </w:t>
            </w:r>
            <w:r w:rsidRPr="00D8001C">
              <w:rPr>
                <w:sz w:val="20"/>
                <w:szCs w:val="20"/>
                <w:lang w:val="fr-FR"/>
              </w:rPr>
              <w:t xml:space="preserve"> Hachette, Paris,</w:t>
            </w:r>
            <w:r w:rsidR="00352CDE">
              <w:rPr>
                <w:sz w:val="20"/>
                <w:szCs w:val="20"/>
                <w:lang w:val="fr-FR"/>
              </w:rPr>
              <w:t xml:space="preserve"> </w:t>
            </w:r>
            <w:r w:rsidRPr="00D8001C">
              <w:rPr>
                <w:sz w:val="20"/>
                <w:szCs w:val="20"/>
                <w:lang w:val="fr-FR"/>
              </w:rPr>
              <w:t>20</w:t>
            </w:r>
            <w:r w:rsidR="00352CDE">
              <w:rPr>
                <w:sz w:val="20"/>
                <w:szCs w:val="20"/>
                <w:lang w:val="fr-FR"/>
              </w:rPr>
              <w:t>10</w:t>
            </w:r>
            <w:r w:rsidRPr="00D8001C">
              <w:rPr>
                <w:sz w:val="20"/>
                <w:szCs w:val="20"/>
                <w:lang w:val="fr-FR"/>
              </w:rPr>
              <w:t>.</w:t>
            </w:r>
          </w:p>
          <w:p w:rsidR="009E364D" w:rsidRDefault="009E364D" w:rsidP="009E364D">
            <w:pPr>
              <w:rPr>
                <w:sz w:val="20"/>
                <w:szCs w:val="20"/>
                <w:lang w:val="fr-FR"/>
              </w:rPr>
            </w:pPr>
          </w:p>
          <w:p w:rsidR="009E364D" w:rsidRPr="00D8001C" w:rsidRDefault="009E364D" w:rsidP="009E364D">
            <w:pPr>
              <w:jc w:val="both"/>
              <w:rPr>
                <w:sz w:val="20"/>
                <w:szCs w:val="20"/>
                <w:lang w:val="fr-FR"/>
              </w:rPr>
            </w:pPr>
            <w:r w:rsidRPr="00D8001C">
              <w:rPr>
                <w:b/>
                <w:sz w:val="20"/>
                <w:szCs w:val="20"/>
                <w:lang w:val="fr-FR"/>
              </w:rPr>
              <w:t>Le</w:t>
            </w:r>
            <w:r w:rsidR="00F2742F">
              <w:rPr>
                <w:b/>
                <w:sz w:val="20"/>
                <w:szCs w:val="20"/>
                <w:lang w:val="fr-FR"/>
              </w:rPr>
              <w:t>xique et langue spécialisée</w:t>
            </w:r>
            <w:r w:rsidRPr="00D8001C">
              <w:rPr>
                <w:b/>
                <w:sz w:val="20"/>
                <w:szCs w:val="20"/>
                <w:lang w:val="fr-FR"/>
              </w:rPr>
              <w:t>:</w:t>
            </w:r>
            <w:r w:rsidRPr="00D8001C">
              <w:rPr>
                <w:sz w:val="20"/>
                <w:szCs w:val="20"/>
                <w:lang w:val="fr-FR"/>
              </w:rPr>
              <w:t xml:space="preserve"> </w:t>
            </w:r>
          </w:p>
          <w:p w:rsidR="009E364D" w:rsidRPr="00534843" w:rsidRDefault="009E364D" w:rsidP="009E364D">
            <w:pPr>
              <w:jc w:val="both"/>
              <w:rPr>
                <w:sz w:val="20"/>
                <w:szCs w:val="20"/>
                <w:lang w:val="fr-FR"/>
              </w:rPr>
            </w:pPr>
            <w:r w:rsidRPr="00534843">
              <w:rPr>
                <w:sz w:val="20"/>
                <w:szCs w:val="20"/>
                <w:lang w:val="fr-FR"/>
              </w:rPr>
              <w:t xml:space="preserve">- Pierre </w:t>
            </w:r>
            <w:r>
              <w:rPr>
                <w:sz w:val="20"/>
                <w:szCs w:val="20"/>
                <w:lang w:val="fr-FR"/>
              </w:rPr>
              <w:t>LERAT</w:t>
            </w:r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Approches linguistiques des langues spécialisées</w:t>
            </w:r>
            <w:r w:rsidRPr="00534843">
              <w:rPr>
                <w:sz w:val="20"/>
                <w:szCs w:val="20"/>
                <w:lang w:val="fr-FR"/>
              </w:rPr>
              <w:t>, ASp [En ligne], 15-18 | 1997</w:t>
            </w:r>
          </w:p>
          <w:p w:rsidR="009E364D" w:rsidRDefault="009E364D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9E364D" w:rsidRDefault="009E364D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534843">
              <w:rPr>
                <w:sz w:val="20"/>
                <w:szCs w:val="20"/>
                <w:lang w:val="fr-FR"/>
              </w:rPr>
              <w:t xml:space="preserve">Jean Marc </w:t>
            </w:r>
            <w:r>
              <w:rPr>
                <w:sz w:val="20"/>
                <w:szCs w:val="20"/>
                <w:lang w:val="fr-FR"/>
              </w:rPr>
              <w:t>MANGIANTE</w:t>
            </w:r>
            <w:r w:rsidRPr="00534843">
              <w:rPr>
                <w:sz w:val="20"/>
                <w:szCs w:val="20"/>
                <w:lang w:val="fr-FR"/>
              </w:rPr>
              <w:t xml:space="preserve">, </w:t>
            </w:r>
            <w:r w:rsidRPr="00534843">
              <w:rPr>
                <w:i/>
                <w:sz w:val="20"/>
                <w:szCs w:val="20"/>
                <w:lang w:val="fr-FR"/>
              </w:rPr>
              <w:t>Français de spécialité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32CD0">
              <w:rPr>
                <w:i/>
                <w:sz w:val="20"/>
                <w:szCs w:val="20"/>
                <w:lang w:val="fr-FR"/>
              </w:rPr>
              <w:t>ou français sur objectif spécifique: deux démarches didactiques distinctes</w:t>
            </w:r>
            <w:r w:rsidR="00480AD1">
              <w:rPr>
                <w:sz w:val="20"/>
                <w:szCs w:val="20"/>
                <w:lang w:val="fr-FR"/>
              </w:rPr>
              <w:t>(fornito dal docente)</w:t>
            </w:r>
          </w:p>
          <w:p w:rsidR="00563191" w:rsidRDefault="00563191" w:rsidP="009E364D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:rsidR="009E364D" w:rsidRDefault="009E364D" w:rsidP="009E364D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  <w:lang w:val="fr-FR"/>
              </w:rPr>
            </w:pPr>
            <w:r w:rsidRPr="00534843">
              <w:rPr>
                <w:sz w:val="20"/>
                <w:lang w:val="fr-FR"/>
              </w:rPr>
              <w:t>Trad</w:t>
            </w:r>
            <w:r w:rsidR="00F2742F">
              <w:rPr>
                <w:sz w:val="20"/>
                <w:lang w:val="fr-FR"/>
              </w:rPr>
              <w:t>uction et interprétation</w:t>
            </w:r>
            <w:r w:rsidRPr="00534843">
              <w:rPr>
                <w:sz w:val="20"/>
                <w:lang w:val="fr-FR"/>
              </w:rPr>
              <w:t>:</w:t>
            </w:r>
          </w:p>
          <w:p w:rsidR="00F82905" w:rsidRPr="00F32CD0" w:rsidRDefault="00F82905" w:rsidP="00F82905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- </w:t>
            </w:r>
            <w:r>
              <w:rPr>
                <w:b w:val="0"/>
                <w:sz w:val="20"/>
                <w:lang w:val="fr-FR"/>
              </w:rPr>
              <w:t>CROSS</w:t>
            </w:r>
            <w:r w:rsidRPr="00F32CD0">
              <w:rPr>
                <w:b w:val="0"/>
                <w:bCs/>
                <w:sz w:val="20"/>
                <w:lang w:val="fr-FR"/>
              </w:rPr>
              <w:t xml:space="preserve"> C</w:t>
            </w:r>
            <w:r>
              <w:rPr>
                <w:b w:val="0"/>
                <w:bCs/>
                <w:sz w:val="20"/>
                <w:lang w:val="fr-FR"/>
              </w:rPr>
              <w:t>.</w:t>
            </w:r>
            <w:r w:rsidRPr="00F32CD0">
              <w:rPr>
                <w:b w:val="0"/>
                <w:sz w:val="20"/>
                <w:lang w:val="fr-FR"/>
              </w:rPr>
              <w:t xml:space="preserve">, </w:t>
            </w:r>
            <w:r w:rsidRPr="009164C6">
              <w:rPr>
                <w:b w:val="0"/>
                <w:i/>
                <w:sz w:val="20"/>
                <w:lang w:val="fr-FR"/>
              </w:rPr>
              <w:t>Traduction et interprétation, deux volets d’un même métier ou deux métiers différents?</w:t>
            </w:r>
            <w:r w:rsidR="008C61DA">
              <w:rPr>
                <w:b w:val="0"/>
                <w:sz w:val="20"/>
                <w:lang w:val="fr-FR"/>
              </w:rPr>
              <w:t xml:space="preserve"> in « </w:t>
            </w:r>
            <w:r w:rsidRPr="009164C6">
              <w:rPr>
                <w:b w:val="0"/>
                <w:iCs/>
                <w:sz w:val="20"/>
                <w:lang w:val="fr-FR"/>
              </w:rPr>
              <w:t>Traduire</w:t>
            </w:r>
            <w:r w:rsidR="008C61DA">
              <w:rPr>
                <w:b w:val="0"/>
                <w:iCs/>
                <w:sz w:val="20"/>
                <w:lang w:val="fr-FR"/>
              </w:rPr>
              <w:t> »</w:t>
            </w:r>
            <w:r w:rsidRPr="009164C6">
              <w:rPr>
                <w:b w:val="0"/>
                <w:sz w:val="20"/>
                <w:lang w:val="fr-FR"/>
              </w:rPr>
              <w:t xml:space="preserve">, </w:t>
            </w:r>
            <w:r w:rsidRPr="00F32CD0">
              <w:rPr>
                <w:b w:val="0"/>
                <w:sz w:val="20"/>
                <w:lang w:val="fr-FR"/>
              </w:rPr>
              <w:t>221 | 2009, 5-12.</w:t>
            </w:r>
          </w:p>
          <w:p w:rsidR="002552EC" w:rsidRPr="002552EC" w:rsidRDefault="002552EC" w:rsidP="002552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both"/>
              <w:rPr>
                <w:b w:val="0"/>
                <w:sz w:val="20"/>
                <w:lang w:val="fr-FR"/>
              </w:rPr>
            </w:pPr>
            <w:r w:rsidRPr="002552EC">
              <w:rPr>
                <w:b w:val="0"/>
                <w:sz w:val="20"/>
                <w:lang w:val="fr-FR"/>
              </w:rPr>
              <w:t xml:space="preserve">- FALBO C., </w:t>
            </w:r>
            <w:r w:rsidRPr="00F2742F">
              <w:rPr>
                <w:b w:val="0"/>
                <w:i/>
                <w:sz w:val="20"/>
                <w:lang w:val="fr-FR"/>
              </w:rPr>
              <w:t>L’interprète: récepteur et producteur textuel</w:t>
            </w:r>
            <w:r>
              <w:rPr>
                <w:b w:val="0"/>
                <w:sz w:val="20"/>
                <w:lang w:val="fr-FR"/>
              </w:rPr>
              <w:t xml:space="preserve"> in </w:t>
            </w:r>
            <w:r w:rsidRPr="002552EC">
              <w:rPr>
                <w:b w:val="0"/>
                <w:sz w:val="20"/>
                <w:lang w:val="fr-FR"/>
              </w:rPr>
              <w:t>« The Interpreters' Newsletter », 5,</w:t>
            </w:r>
            <w:r>
              <w:rPr>
                <w:b w:val="0"/>
                <w:sz w:val="20"/>
                <w:lang w:val="fr-FR"/>
              </w:rPr>
              <w:t xml:space="preserve"> </w:t>
            </w:r>
            <w:r w:rsidRPr="002552EC">
              <w:rPr>
                <w:b w:val="0"/>
                <w:sz w:val="20"/>
                <w:lang w:val="fr-FR"/>
              </w:rPr>
              <w:t>E.U.T., Trieste, pp.101-106</w:t>
            </w:r>
          </w:p>
          <w:p w:rsidR="00AF4DF1" w:rsidRDefault="002552EC" w:rsidP="0084683A">
            <w:pPr>
              <w:pStyle w:val="Default"/>
              <w:jc w:val="both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 xml:space="preserve">- GILE D., </w:t>
            </w:r>
            <w:r w:rsidRPr="002552EC">
              <w:rPr>
                <w:i/>
                <w:color w:val="auto"/>
                <w:sz w:val="20"/>
                <w:szCs w:val="20"/>
                <w:lang w:val="fr-FR"/>
              </w:rPr>
              <w:t>Les termes techniques en interprétation simultanée</w:t>
            </w:r>
            <w:r>
              <w:rPr>
                <w:color w:val="auto"/>
                <w:sz w:val="20"/>
                <w:szCs w:val="20"/>
                <w:lang w:val="fr-FR"/>
              </w:rPr>
              <w:t>, in « Meta » 303 (1985), pp. 199-210</w:t>
            </w:r>
          </w:p>
          <w:p w:rsidR="00480AD1" w:rsidRDefault="00480AD1" w:rsidP="00480AD1">
            <w:pPr>
              <w:autoSpaceDE w:val="0"/>
              <w:autoSpaceDN w:val="0"/>
              <w:adjustRightInd w:val="0"/>
              <w:rPr>
                <w:rFonts w:ascii="Roboto-Light" w:eastAsiaTheme="minorHAnsi" w:hAnsi="Roboto-Light" w:cs="Roboto-Light"/>
                <w:sz w:val="16"/>
                <w:szCs w:val="16"/>
                <w:lang w:val="fr-FR" w:eastAsia="en-US"/>
              </w:rPr>
            </w:pPr>
          </w:p>
          <w:p w:rsidR="00480AD1" w:rsidRDefault="00480AD1" w:rsidP="00480AD1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480AD1">
              <w:rPr>
                <w:sz w:val="20"/>
                <w:szCs w:val="20"/>
                <w:lang w:val="fr-FR"/>
              </w:rPr>
              <w:t xml:space="preserve"> L</w:t>
            </w:r>
            <w:r>
              <w:rPr>
                <w:sz w:val="20"/>
                <w:szCs w:val="20"/>
                <w:lang w:val="fr-FR"/>
              </w:rPr>
              <w:t xml:space="preserve">ADJADJ </w:t>
            </w:r>
            <w:r w:rsidRPr="00480AD1">
              <w:rPr>
                <w:sz w:val="20"/>
                <w:szCs w:val="20"/>
                <w:lang w:val="fr-FR"/>
              </w:rPr>
              <w:t>H. et C</w:t>
            </w:r>
            <w:r>
              <w:rPr>
                <w:sz w:val="20"/>
                <w:szCs w:val="20"/>
                <w:lang w:val="fr-FR"/>
              </w:rPr>
              <w:t xml:space="preserve">HIFLET </w:t>
            </w:r>
            <w:r w:rsidRPr="00480AD1">
              <w:rPr>
                <w:sz w:val="20"/>
                <w:szCs w:val="20"/>
                <w:lang w:val="fr-FR"/>
              </w:rPr>
              <w:t>J</w:t>
            </w:r>
            <w:r>
              <w:rPr>
                <w:sz w:val="20"/>
                <w:szCs w:val="20"/>
                <w:lang w:val="fr-FR"/>
              </w:rPr>
              <w:t>.</w:t>
            </w:r>
            <w:r w:rsidRPr="00480AD1">
              <w:rPr>
                <w:sz w:val="20"/>
                <w:szCs w:val="20"/>
                <w:lang w:val="fr-FR"/>
              </w:rPr>
              <w:t>-L</w:t>
            </w:r>
            <w:r>
              <w:rPr>
                <w:sz w:val="20"/>
                <w:szCs w:val="20"/>
                <w:lang w:val="fr-FR"/>
              </w:rPr>
              <w:t>.</w:t>
            </w:r>
            <w:r w:rsidRPr="00480AD1">
              <w:rPr>
                <w:sz w:val="20"/>
                <w:szCs w:val="20"/>
                <w:lang w:val="fr-FR"/>
              </w:rPr>
              <w:t xml:space="preserve">, </w:t>
            </w:r>
            <w:r w:rsidR="00563191">
              <w:rPr>
                <w:i/>
                <w:sz w:val="20"/>
                <w:szCs w:val="20"/>
                <w:lang w:val="fr-FR"/>
              </w:rPr>
              <w:t>Vous voulez rire</w:t>
            </w:r>
            <w:r w:rsidRPr="00480AD1">
              <w:rPr>
                <w:i/>
                <w:sz w:val="20"/>
                <w:szCs w:val="20"/>
                <w:lang w:val="fr-FR"/>
              </w:rPr>
              <w:t>? C’est intraduisible…</w:t>
            </w:r>
            <w:r>
              <w:rPr>
                <w:sz w:val="20"/>
                <w:szCs w:val="20"/>
                <w:lang w:val="fr-FR"/>
              </w:rPr>
              <w:t xml:space="preserve"> in </w:t>
            </w:r>
            <w:r w:rsidRPr="00480AD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« </w:t>
            </w:r>
            <w:r w:rsidRPr="00480AD1">
              <w:rPr>
                <w:sz w:val="20"/>
                <w:szCs w:val="20"/>
                <w:lang w:val="fr-FR"/>
              </w:rPr>
              <w:t>Traduire</w:t>
            </w:r>
            <w:r>
              <w:rPr>
                <w:sz w:val="20"/>
                <w:szCs w:val="20"/>
                <w:lang w:val="fr-FR"/>
              </w:rPr>
              <w:t> »</w:t>
            </w:r>
            <w:r w:rsidRPr="00480AD1">
              <w:rPr>
                <w:sz w:val="20"/>
                <w:szCs w:val="20"/>
                <w:lang w:val="fr-FR"/>
              </w:rPr>
              <w:t xml:space="preserve"> [</w:t>
            </w:r>
            <w:r w:rsidR="008C61DA">
              <w:rPr>
                <w:sz w:val="20"/>
                <w:szCs w:val="20"/>
                <w:lang w:val="fr-FR"/>
              </w:rPr>
              <w:t>e</w:t>
            </w:r>
            <w:r w:rsidRPr="00480AD1">
              <w:rPr>
                <w:sz w:val="20"/>
                <w:szCs w:val="20"/>
                <w:lang w:val="fr-FR"/>
              </w:rPr>
              <w:t>n ligne],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480AD1">
              <w:rPr>
                <w:sz w:val="20"/>
                <w:szCs w:val="20"/>
                <w:lang w:val="fr-FR"/>
              </w:rPr>
              <w:t>232 | 2015</w:t>
            </w:r>
          </w:p>
          <w:p w:rsidR="00F2742F" w:rsidRDefault="00F2742F" w:rsidP="002552EC">
            <w:pPr>
              <w:jc w:val="both"/>
              <w:rPr>
                <w:sz w:val="20"/>
                <w:szCs w:val="20"/>
                <w:lang w:val="fr-FR"/>
              </w:rPr>
            </w:pPr>
          </w:p>
          <w:p w:rsidR="004D75E7" w:rsidRPr="004D75E7" w:rsidRDefault="004D75E7" w:rsidP="002552E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LEANZA Y, BOIVIN I., </w:t>
            </w:r>
            <w:r w:rsidRPr="004D75E7">
              <w:rPr>
                <w:i/>
                <w:sz w:val="20"/>
                <w:szCs w:val="20"/>
                <w:lang w:val="fr-FR"/>
              </w:rPr>
              <w:t>Interpréter n’est pas traduire</w:t>
            </w:r>
            <w:r>
              <w:rPr>
                <w:sz w:val="20"/>
                <w:szCs w:val="20"/>
                <w:lang w:val="fr-FR"/>
              </w:rPr>
              <w:t xml:space="preserve"> (fornito dal docente)</w:t>
            </w:r>
          </w:p>
          <w:p w:rsidR="004D75E7" w:rsidRDefault="004D75E7" w:rsidP="002552EC">
            <w:pPr>
              <w:jc w:val="both"/>
              <w:rPr>
                <w:sz w:val="20"/>
                <w:szCs w:val="20"/>
                <w:lang w:val="fr-FR"/>
              </w:rPr>
            </w:pPr>
          </w:p>
          <w:p w:rsidR="00AF4DF1" w:rsidRDefault="009E364D" w:rsidP="002552EC">
            <w:pPr>
              <w:jc w:val="both"/>
              <w:rPr>
                <w:sz w:val="20"/>
                <w:szCs w:val="20"/>
                <w:lang w:val="fr-FR"/>
              </w:rPr>
            </w:pPr>
            <w:r w:rsidRPr="00534843">
              <w:rPr>
                <w:sz w:val="20"/>
                <w:szCs w:val="20"/>
                <w:lang w:val="fr-FR"/>
              </w:rPr>
              <w:t>-</w:t>
            </w:r>
            <w:r w:rsidR="002552EC">
              <w:rPr>
                <w:sz w:val="20"/>
                <w:szCs w:val="20"/>
                <w:lang w:val="fr-FR"/>
              </w:rPr>
              <w:t xml:space="preserve"> </w:t>
            </w:r>
            <w:r w:rsidR="00AF4DF1" w:rsidRPr="00A2034E">
              <w:rPr>
                <w:sz w:val="20"/>
                <w:szCs w:val="20"/>
                <w:lang w:val="fr-FR"/>
              </w:rPr>
              <w:t xml:space="preserve">NIEMANTS N., </w:t>
            </w:r>
            <w:r w:rsidR="00AF4DF1" w:rsidRPr="003430D2">
              <w:rPr>
                <w:i/>
                <w:sz w:val="20"/>
                <w:szCs w:val="20"/>
                <w:lang w:val="fr-FR"/>
              </w:rPr>
              <w:t>Quand les interprètes font les journalistes: une analyse linguistique</w:t>
            </w:r>
            <w:r w:rsidR="00AF4DF1" w:rsidRPr="00A2034E">
              <w:rPr>
                <w:sz w:val="20"/>
                <w:szCs w:val="20"/>
                <w:lang w:val="fr-FR"/>
              </w:rPr>
              <w:t>, in « The Interpreters' Newsletter », 16, E.U.T., Trieste, pp. 137-155.</w:t>
            </w:r>
          </w:p>
          <w:p w:rsidR="00A11B4D" w:rsidRDefault="00A11B4D" w:rsidP="002552EC">
            <w:pPr>
              <w:jc w:val="both"/>
              <w:rPr>
                <w:sz w:val="20"/>
                <w:szCs w:val="20"/>
                <w:lang w:val="fr-FR"/>
              </w:rPr>
            </w:pPr>
          </w:p>
          <w:p w:rsidR="00A11B4D" w:rsidRPr="00141464" w:rsidRDefault="00A11B4D" w:rsidP="00A11B4D">
            <w:pPr>
              <w:pStyle w:val="Defaul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PALAZZI GUBERTINI </w:t>
            </w:r>
            <w:r w:rsidRPr="00141464">
              <w:rPr>
                <w:sz w:val="20"/>
                <w:szCs w:val="20"/>
                <w:lang w:val="fr-FR"/>
              </w:rPr>
              <w:t xml:space="preserve"> M.C.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Pr="00141464">
              <w:rPr>
                <w:i/>
                <w:iCs/>
                <w:sz w:val="20"/>
                <w:szCs w:val="20"/>
                <w:lang w:val="fr-FR"/>
              </w:rPr>
              <w:t xml:space="preserve">Des ajouts en interprétation. Pourquoi pas ? </w:t>
            </w:r>
            <w:r w:rsidR="00480AD1">
              <w:rPr>
                <w:iCs/>
                <w:sz w:val="20"/>
                <w:szCs w:val="20"/>
                <w:lang w:val="fr-FR"/>
              </w:rPr>
              <w:t>in « </w:t>
            </w:r>
            <w:r w:rsidRPr="00480AD1">
              <w:rPr>
                <w:iCs/>
                <w:sz w:val="20"/>
                <w:szCs w:val="20"/>
                <w:lang w:val="fr-FR"/>
              </w:rPr>
              <w:t>The Interpreters’ Newsletter</w:t>
            </w:r>
            <w:r w:rsidR="00480AD1">
              <w:rPr>
                <w:iCs/>
                <w:sz w:val="20"/>
                <w:szCs w:val="20"/>
                <w:lang w:val="fr-FR"/>
              </w:rPr>
              <w:t> »</w:t>
            </w:r>
            <w:r w:rsidRPr="00141464">
              <w:rPr>
                <w:sz w:val="20"/>
                <w:szCs w:val="20"/>
                <w:lang w:val="fr-FR"/>
              </w:rPr>
              <w:t>, 8,</w:t>
            </w:r>
            <w:r>
              <w:rPr>
                <w:sz w:val="20"/>
                <w:szCs w:val="20"/>
                <w:lang w:val="fr-FR"/>
              </w:rPr>
              <w:t xml:space="preserve"> 1998, </w:t>
            </w:r>
            <w:r w:rsidRPr="00141464">
              <w:rPr>
                <w:sz w:val="20"/>
                <w:szCs w:val="20"/>
                <w:lang w:val="fr-FR"/>
              </w:rPr>
              <w:t xml:space="preserve"> E.U.T., Trieste, pp.135-149 </w:t>
            </w:r>
          </w:p>
          <w:p w:rsidR="00A11B4D" w:rsidRPr="00352CDE" w:rsidRDefault="00A11B4D" w:rsidP="002552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  <w:lang w:val="fr-FR"/>
              </w:rPr>
            </w:pPr>
          </w:p>
          <w:p w:rsidR="002552EC" w:rsidRDefault="002552EC" w:rsidP="002552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Si consiglia la lettura dei seguenti testi a titolo di a</w:t>
            </w:r>
            <w:r w:rsidRPr="006C6DB5">
              <w:rPr>
                <w:sz w:val="20"/>
              </w:rPr>
              <w:t>pprofondimento:</w:t>
            </w:r>
            <w:r w:rsidRPr="00CB6177">
              <w:rPr>
                <w:b w:val="0"/>
                <w:sz w:val="20"/>
              </w:rPr>
              <w:t xml:space="preserve"> </w:t>
            </w:r>
          </w:p>
          <w:p w:rsidR="002552EC" w:rsidRDefault="002552EC" w:rsidP="002552EC">
            <w:pPr>
              <w:pStyle w:val="Titolo"/>
              <w:tabs>
                <w:tab w:val="left" w:pos="1140"/>
              </w:tabs>
              <w:ind w:right="113"/>
              <w:jc w:val="left"/>
              <w:rPr>
                <w:b w:val="0"/>
                <w:sz w:val="20"/>
                <w:lang w:val="fr-FR"/>
              </w:rPr>
            </w:pPr>
            <w:r w:rsidRPr="00CB6177">
              <w:rPr>
                <w:b w:val="0"/>
                <w:sz w:val="20"/>
                <w:lang w:val="fr-FR"/>
              </w:rPr>
              <w:t xml:space="preserve">- BIDAUD F., </w:t>
            </w:r>
            <w:r w:rsidRPr="00CB6177">
              <w:rPr>
                <w:b w:val="0"/>
                <w:i/>
                <w:sz w:val="20"/>
                <w:lang w:val="fr-FR"/>
              </w:rPr>
              <w:t>Traduire le français d’aujourd’hui</w:t>
            </w:r>
            <w:r w:rsidRPr="00CB6177">
              <w:rPr>
                <w:b w:val="0"/>
                <w:sz w:val="20"/>
                <w:lang w:val="fr-FR"/>
              </w:rPr>
              <w:t>, Utet Università, 2014</w:t>
            </w:r>
          </w:p>
          <w:p w:rsidR="002552EC" w:rsidRPr="00CB6177" w:rsidRDefault="002552EC" w:rsidP="002552EC">
            <w:pPr>
              <w:pStyle w:val="Titolo"/>
              <w:tabs>
                <w:tab w:val="left" w:pos="1140"/>
              </w:tabs>
              <w:ind w:right="113"/>
              <w:jc w:val="left"/>
              <w:rPr>
                <w:b w:val="0"/>
                <w:sz w:val="20"/>
                <w:lang w:val="fr-FR"/>
              </w:rPr>
            </w:pPr>
          </w:p>
          <w:p w:rsidR="002552EC" w:rsidRDefault="002552EC" w:rsidP="002552E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4700C2">
              <w:rPr>
                <w:sz w:val="20"/>
                <w:szCs w:val="20"/>
                <w:lang w:val="fr-FR"/>
              </w:rPr>
              <w:t>GAUGEY V., SHEEREN H., </w:t>
            </w:r>
            <w:r w:rsidRPr="004700C2">
              <w:rPr>
                <w:i/>
                <w:sz w:val="20"/>
                <w:szCs w:val="20"/>
                <w:lang w:val="fr-FR"/>
              </w:rPr>
              <w:t>Le franç@is dans le mouv’ – Le lexique du français contemporain dans toutes ses coutures</w:t>
            </w:r>
            <w:r w:rsidRPr="004700C2">
              <w:rPr>
                <w:sz w:val="20"/>
                <w:szCs w:val="20"/>
                <w:lang w:val="fr-FR"/>
              </w:rPr>
              <w:t>, Firenze, Le Lettere, 2015.</w:t>
            </w:r>
          </w:p>
          <w:p w:rsidR="00A80764" w:rsidRDefault="00A80764" w:rsidP="002552EC">
            <w:pPr>
              <w:pStyle w:val="NormaleWeb"/>
              <w:spacing w:before="0" w:beforeAutospacing="0" w:after="0" w:afterAutospacing="0"/>
              <w:rPr>
                <w:sz w:val="20"/>
                <w:szCs w:val="20"/>
                <w:lang w:val="fr-FR"/>
              </w:rPr>
            </w:pPr>
          </w:p>
          <w:p w:rsidR="002552EC" w:rsidRDefault="002552EC" w:rsidP="002552E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r w:rsidRPr="004C2C34">
              <w:rPr>
                <w:sz w:val="20"/>
                <w:szCs w:val="20"/>
                <w:lang w:val="fr-FR"/>
              </w:rPr>
              <w:t>DE GIOIA M</w:t>
            </w:r>
            <w:r>
              <w:rPr>
                <w:sz w:val="20"/>
                <w:szCs w:val="20"/>
                <w:lang w:val="fr-FR"/>
              </w:rPr>
              <w:t>.</w:t>
            </w:r>
            <w:r w:rsidRPr="004C2C34">
              <w:rPr>
                <w:sz w:val="20"/>
                <w:szCs w:val="20"/>
                <w:lang w:val="fr-FR"/>
              </w:rPr>
              <w:t xml:space="preserve"> et MARCON M</w:t>
            </w:r>
            <w:r>
              <w:rPr>
                <w:sz w:val="20"/>
                <w:szCs w:val="20"/>
                <w:lang w:val="fr-FR"/>
              </w:rPr>
              <w:t>.</w:t>
            </w:r>
            <w:r w:rsidRPr="004C2C34">
              <w:rPr>
                <w:sz w:val="20"/>
                <w:szCs w:val="20"/>
                <w:lang w:val="fr-FR"/>
              </w:rPr>
              <w:t xml:space="preserve">, </w:t>
            </w:r>
            <w:r w:rsidRPr="004C2C34">
              <w:rPr>
                <w:i/>
                <w:sz w:val="20"/>
                <w:szCs w:val="20"/>
                <w:lang w:val="fr-FR"/>
              </w:rPr>
              <w:t xml:space="preserve">Mots de médiation. </w:t>
            </w:r>
            <w:r w:rsidRPr="005F08A3">
              <w:rPr>
                <w:i/>
                <w:sz w:val="20"/>
                <w:szCs w:val="20"/>
              </w:rPr>
              <w:t>Un lexique bilingue français-italien / Parole di mediazione. Un lessico bilingue francese-italiano</w:t>
            </w:r>
            <w:r w:rsidRPr="005F08A3">
              <w:rPr>
                <w:sz w:val="20"/>
                <w:szCs w:val="20"/>
              </w:rPr>
              <w:t xml:space="preserve">,  Padova University Press, 2014.  </w:t>
            </w:r>
          </w:p>
          <w:p w:rsidR="002552EC" w:rsidRDefault="002552EC" w:rsidP="002552E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80764" w:rsidRPr="00A80764" w:rsidRDefault="00480AD1" w:rsidP="00480AD1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  <w:lang w:val="fr-FR"/>
              </w:rPr>
            </w:pPr>
            <w:r w:rsidRPr="00A80764">
              <w:rPr>
                <w:b w:val="0"/>
                <w:sz w:val="20"/>
                <w:lang w:val="fr-FR"/>
              </w:rPr>
              <w:t xml:space="preserve">- PODEUR J., </w:t>
            </w:r>
            <w:r w:rsidR="00A80764" w:rsidRPr="00A80764">
              <w:rPr>
                <w:b w:val="0"/>
                <w:i/>
                <w:sz w:val="20"/>
                <w:lang w:val="fr-FR"/>
              </w:rPr>
              <w:t>Jeux de traduction</w:t>
            </w:r>
            <w:r w:rsidR="00A80764" w:rsidRPr="00A80764">
              <w:rPr>
                <w:b w:val="0"/>
                <w:sz w:val="20"/>
                <w:lang w:val="fr-FR"/>
              </w:rPr>
              <w:t>, Liguori, Napoli, 2009</w:t>
            </w:r>
          </w:p>
          <w:p w:rsidR="005328F3" w:rsidRPr="00202471" w:rsidRDefault="005328F3" w:rsidP="00480AD1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16"/>
                <w:szCs w:val="16"/>
                <w:lang w:val="fr-FR"/>
              </w:rPr>
            </w:pPr>
          </w:p>
          <w:p w:rsidR="005328F3" w:rsidRPr="00480AD1" w:rsidRDefault="005328F3" w:rsidP="00480AD1">
            <w:pPr>
              <w:pStyle w:val="Titolo"/>
              <w:tabs>
                <w:tab w:val="left" w:pos="1140"/>
              </w:tabs>
              <w:spacing w:line="276" w:lineRule="auto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VELEZ A., </w:t>
            </w:r>
            <w:r>
              <w:rPr>
                <w:b w:val="0"/>
                <w:i/>
                <w:sz w:val="20"/>
              </w:rPr>
              <w:t>Le parole dell'interprete - P</w:t>
            </w:r>
            <w:r w:rsidRPr="005328F3">
              <w:rPr>
                <w:b w:val="0"/>
                <w:i/>
                <w:sz w:val="20"/>
              </w:rPr>
              <w:t>ratiche di mediazione culturale,</w:t>
            </w:r>
            <w:r>
              <w:rPr>
                <w:b w:val="0"/>
                <w:i/>
                <w:sz w:val="20"/>
              </w:rPr>
              <w:t xml:space="preserve"> </w:t>
            </w:r>
            <w:r w:rsidRPr="005328F3">
              <w:rPr>
                <w:b w:val="0"/>
                <w:sz w:val="20"/>
              </w:rPr>
              <w:t>Palermo University Press,</w:t>
            </w:r>
            <w:r>
              <w:rPr>
                <w:b w:val="0"/>
                <w:i/>
                <w:sz w:val="20"/>
              </w:rPr>
              <w:t xml:space="preserve"> </w:t>
            </w:r>
            <w:r w:rsidR="00563191" w:rsidRPr="00563191">
              <w:rPr>
                <w:b w:val="0"/>
                <w:sz w:val="20"/>
              </w:rPr>
              <w:t>Palermo,</w:t>
            </w:r>
            <w:r w:rsidR="00563191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2017</w:t>
            </w:r>
            <w:r>
              <w:t xml:space="preserve"> </w:t>
            </w:r>
          </w:p>
        </w:tc>
      </w:tr>
      <w:tr w:rsidR="00AF4DF1" w:rsidTr="0084683A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AF4DF1" w:rsidRDefault="00AF4DF1" w:rsidP="00563191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4605D7" w:rsidP="0084683A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</w:t>
            </w:r>
            <w:r w:rsidR="00AF4DF1">
              <w:rPr>
                <w:sz w:val="20"/>
                <w:szCs w:val="20"/>
              </w:rPr>
              <w:t xml:space="preserve"> degli aspetti fonetici, fonologici, morfologici, sintattici, idiomatici e pragmatici della lingua.</w:t>
            </w:r>
          </w:p>
          <w:p w:rsidR="00AF4DF1" w:rsidRDefault="00AF4DF1" w:rsidP="0084683A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Affinamento del</w:t>
            </w:r>
            <w:r w:rsidRPr="008F1C43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competenze necessarie alla traduzione e interpretazione IT&gt;FR e FR&gt;IT.</w:t>
            </w:r>
          </w:p>
          <w:p w:rsidR="00AF4DF1" w:rsidRDefault="00AF4DF1" w:rsidP="0084683A">
            <w:pPr>
              <w:pStyle w:val="Paragrafoelenco"/>
              <w:numPr>
                <w:ilvl w:val="0"/>
                <w:numId w:val="2"/>
              </w:numPr>
              <w:ind w:left="289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Padronanza delle </w:t>
            </w:r>
            <w:r w:rsidRPr="008F1C43">
              <w:rPr>
                <w:sz w:val="20"/>
                <w:szCs w:val="20"/>
              </w:rPr>
              <w:t xml:space="preserve">risorse linguistiche atte alla comprensione, </w:t>
            </w:r>
            <w:r>
              <w:rPr>
                <w:sz w:val="20"/>
                <w:szCs w:val="20"/>
              </w:rPr>
              <w:t xml:space="preserve">analisi e </w:t>
            </w:r>
            <w:r w:rsidRPr="008F1C43">
              <w:rPr>
                <w:sz w:val="20"/>
                <w:szCs w:val="20"/>
              </w:rPr>
              <w:t>produzione di testi scritti e orali in lingua, anche nell’ambito di linguaggi settoriali.</w:t>
            </w:r>
          </w:p>
          <w:p w:rsidR="00AF4DF1" w:rsidRPr="00236EF7" w:rsidRDefault="00AF4DF1" w:rsidP="0084683A">
            <w:pPr>
              <w:pStyle w:val="Paragrafoelenco"/>
              <w:numPr>
                <w:ilvl w:val="0"/>
                <w:numId w:val="2"/>
              </w:numPr>
              <w:ind w:left="289" w:hanging="141"/>
              <w:rPr>
                <w:sz w:val="20"/>
                <w:szCs w:val="20"/>
              </w:rPr>
            </w:pPr>
            <w:r w:rsidRPr="00236EF7">
              <w:rPr>
                <w:sz w:val="20"/>
                <w:szCs w:val="20"/>
              </w:rPr>
              <w:t xml:space="preserve">Potenziamento delle abilità di comprensione, produzione e interazione in lingua francese in particolare in contesti di mediazione interculturale. </w:t>
            </w:r>
          </w:p>
        </w:tc>
      </w:tr>
      <w:tr w:rsidR="00AF4DF1" w:rsidRPr="00563191" w:rsidTr="0084683A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Pr="00BC07DD" w:rsidRDefault="004605D7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4605D7">
              <w:rPr>
                <w:sz w:val="20"/>
                <w:szCs w:val="20"/>
                <w:lang w:val="en-US"/>
              </w:rPr>
              <w:t>S</w:t>
            </w:r>
            <w:r w:rsidRPr="001A4773">
              <w:rPr>
                <w:sz w:val="20"/>
                <w:szCs w:val="20"/>
                <w:lang w:val="en-US"/>
              </w:rPr>
              <w:t>trengthening</w:t>
            </w:r>
            <w:r w:rsidR="00AF4DF1" w:rsidRPr="00BC07DD">
              <w:rPr>
                <w:sz w:val="20"/>
                <w:szCs w:val="20"/>
                <w:lang w:val="en-US"/>
              </w:rPr>
              <w:t xml:space="preserve"> of the phonetic, phonological, morphological, syntactic, idiomatic and pragmatic aspects of the language.</w:t>
            </w:r>
          </w:p>
          <w:p w:rsidR="00AF4DF1" w:rsidRPr="00BC07DD" w:rsidRDefault="00AF4DF1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 w:rsidRPr="00BC07DD">
              <w:rPr>
                <w:sz w:val="20"/>
                <w:szCs w:val="20"/>
                <w:lang w:val="en-US"/>
              </w:rPr>
              <w:t>De</w:t>
            </w:r>
            <w:r>
              <w:rPr>
                <w:sz w:val="20"/>
                <w:szCs w:val="20"/>
                <w:lang w:val="en-US"/>
              </w:rPr>
              <w:t xml:space="preserve">epening </w:t>
            </w:r>
            <w:r w:rsidRPr="00BC07DD">
              <w:rPr>
                <w:sz w:val="20"/>
                <w:szCs w:val="20"/>
                <w:lang w:val="en-US"/>
              </w:rPr>
              <w:t xml:space="preserve">of skills required for translation and interpreting </w:t>
            </w:r>
            <w:r>
              <w:rPr>
                <w:sz w:val="20"/>
                <w:szCs w:val="20"/>
                <w:lang w:val="en-US"/>
              </w:rPr>
              <w:t>IT</w:t>
            </w:r>
            <w:r w:rsidRPr="00BC07DD">
              <w:rPr>
                <w:sz w:val="20"/>
                <w:szCs w:val="20"/>
                <w:lang w:val="en-US"/>
              </w:rPr>
              <w:t>&gt; FR and FR&gt; IT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AF4DF1" w:rsidRPr="00BC07DD" w:rsidRDefault="00AF4DF1" w:rsidP="0084683A">
            <w:pPr>
              <w:numPr>
                <w:ilvl w:val="0"/>
                <w:numId w:val="2"/>
              </w:numPr>
              <w:ind w:left="289" w:right="113" w:hanging="142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Mastering</w:t>
            </w:r>
            <w:r w:rsidRPr="00BC07DD">
              <w:rPr>
                <w:sz w:val="20"/>
                <w:szCs w:val="20"/>
                <w:lang w:val="en-US"/>
              </w:rPr>
              <w:t xml:space="preserve"> of linguistic resources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BC07DD">
              <w:rPr>
                <w:sz w:val="20"/>
                <w:szCs w:val="20"/>
                <w:lang w:val="en-US"/>
              </w:rPr>
              <w:t xml:space="preserve"> understanding, </w:t>
            </w:r>
            <w:r>
              <w:rPr>
                <w:sz w:val="20"/>
                <w:szCs w:val="20"/>
                <w:lang w:val="en-US"/>
              </w:rPr>
              <w:t>analyse</w:t>
            </w:r>
            <w:r w:rsidRPr="00BC07DD">
              <w:rPr>
                <w:sz w:val="20"/>
                <w:szCs w:val="20"/>
                <w:lang w:val="en-US"/>
              </w:rPr>
              <w:t xml:space="preserve"> and produc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r w:rsidRPr="00BC07DD">
              <w:rPr>
                <w:sz w:val="20"/>
                <w:szCs w:val="20"/>
                <w:lang w:val="en-US"/>
              </w:rPr>
              <w:t xml:space="preserve">written and oral texts in </w:t>
            </w:r>
            <w:r>
              <w:rPr>
                <w:sz w:val="20"/>
                <w:szCs w:val="20"/>
                <w:lang w:val="en-US"/>
              </w:rPr>
              <w:t xml:space="preserve">French </w:t>
            </w:r>
            <w:r w:rsidRPr="00BC07DD">
              <w:rPr>
                <w:sz w:val="20"/>
                <w:szCs w:val="20"/>
                <w:lang w:val="en-US"/>
              </w:rPr>
              <w:t>language, includ</w:t>
            </w:r>
            <w:r>
              <w:rPr>
                <w:sz w:val="20"/>
                <w:szCs w:val="20"/>
                <w:lang w:val="en-US"/>
              </w:rPr>
              <w:t>ing in specialized languages.</w:t>
            </w:r>
          </w:p>
          <w:p w:rsidR="00AF4DF1" w:rsidRPr="00236EF7" w:rsidRDefault="00AF4DF1" w:rsidP="0084683A">
            <w:pPr>
              <w:pStyle w:val="Paragrafoelenco"/>
              <w:numPr>
                <w:ilvl w:val="0"/>
                <w:numId w:val="2"/>
              </w:numPr>
              <w:spacing w:after="120"/>
              <w:ind w:left="289" w:right="113" w:hanging="141"/>
              <w:jc w:val="both"/>
              <w:rPr>
                <w:sz w:val="20"/>
                <w:szCs w:val="20"/>
                <w:lang w:val="en-US"/>
              </w:rPr>
            </w:pPr>
            <w:r w:rsidRPr="00236EF7">
              <w:rPr>
                <w:sz w:val="20"/>
                <w:szCs w:val="20"/>
                <w:lang w:val="en-US"/>
              </w:rPr>
              <w:t>Strengthening of comprehension skills, production and interaction in French in particular in contexts of intercultural mediation.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563191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  <w:r w:rsidR="00563191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2"/>
              </w:numPr>
              <w:spacing w:before="120" w:after="120"/>
              <w:ind w:left="289" w:right="113" w:hanging="141"/>
              <w:jc w:val="both"/>
              <w:rPr>
                <w:b w:val="0"/>
                <w:sz w:val="20"/>
              </w:rPr>
            </w:pPr>
            <w:r w:rsidRPr="00D162F8">
              <w:rPr>
                <w:b w:val="0"/>
                <w:sz w:val="20"/>
              </w:rPr>
              <w:t xml:space="preserve">Conoscenza della lingua francese pari al livello </w:t>
            </w:r>
            <w:r w:rsidR="00563191">
              <w:rPr>
                <w:b w:val="0"/>
                <w:sz w:val="20"/>
              </w:rPr>
              <w:t>B2-C1</w:t>
            </w:r>
            <w:r w:rsidRPr="00D162F8">
              <w:rPr>
                <w:b w:val="0"/>
                <w:sz w:val="20"/>
              </w:rPr>
              <w:t xml:space="preserve"> del Quadro Comune Europeo di Riferimento per la </w:t>
            </w:r>
            <w:r w:rsidR="00563191">
              <w:rPr>
                <w:b w:val="0"/>
                <w:sz w:val="20"/>
              </w:rPr>
              <w:t>conoscenza delle Lingue</w:t>
            </w:r>
            <w:r>
              <w:rPr>
                <w:b w:val="0"/>
                <w:sz w:val="20"/>
              </w:rPr>
              <w:t>.</w:t>
            </w:r>
          </w:p>
          <w:p w:rsidR="00AF4DF1" w:rsidRPr="007A2FF5" w:rsidRDefault="00AF4DF1" w:rsidP="0084683A">
            <w:pPr>
              <w:pStyle w:val="Titolo"/>
              <w:numPr>
                <w:ilvl w:val="0"/>
                <w:numId w:val="2"/>
              </w:numPr>
              <w:spacing w:before="120" w:after="120"/>
              <w:ind w:left="289" w:right="113" w:hanging="14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Conoscenza della lingua italiana.</w:t>
            </w:r>
          </w:p>
        </w:tc>
      </w:tr>
      <w:tr w:rsidR="00AF4DF1" w:rsidTr="0084683A"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corso, svolto prevalentemente in lingua francese, prevede lezioni frontali e ausilio della piattaforma e-learning per l’erogazione del materiale didattico.</w:t>
            </w:r>
            <w:r>
              <w:rPr>
                <w:b w:val="0"/>
                <w:sz w:val="20"/>
              </w:rPr>
              <w:br/>
              <w:t>Saranno proposte attività di analisi (terminologiche, strutturali, contenutistiche) su diverse tipologie testuali ed esercitazioni pratiche di traduzione a vista, o talvolta anche fuori dall’orario delle lezioni, anche con l’ausilio di software e risorse informatiche di traduzione assistita.</w:t>
            </w:r>
          </w:p>
          <w:p w:rsidR="00AF4DF1" w:rsidRDefault="00AF4DF1" w:rsidP="0084683A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Saranno effettuate esercitazioni individuali o in piccoli gruppi in aula o in cabina di interpretazione consecutiva e simultanea da L1 a L2 e viceversa di discorsi o  testi di difficoltà crescente. Simulazioni individuali e registrazioni per il riascolto saranno utilizzati a fini di autocorrezione.</w:t>
            </w:r>
          </w:p>
          <w:p w:rsidR="00AF4DF1" w:rsidRDefault="00AF4DF1" w:rsidP="0084683A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fine di arricchire il lessico saranno proposte attività di lettura ed esercitazioni su sinonimia e vocabolario. Sarà, inoltre, potenziata l’espressione in lingua, con riferimenti alla fonetica ed esercitazioni di produzione tanto scritta quanto orale.</w:t>
            </w:r>
          </w:p>
          <w:p w:rsidR="00AF4DF1" w:rsidRDefault="00AF4DF1" w:rsidP="0084683A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Gli studenti saranno coinvolti nella preparazione di sintesi e presentazioni scritte e/o orali.</w:t>
            </w:r>
          </w:p>
        </w:tc>
      </w:tr>
      <w:tr w:rsidR="00AF4DF1" w:rsidTr="0084683A">
        <w:trPr>
          <w:cantSplit/>
          <w:trHeight w:val="233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cartacei </w:t>
            </w:r>
          </w:p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Materiali multimediali audio-video </w:t>
            </w:r>
          </w:p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Pr="00BF7485">
              <w:rPr>
                <w:b w:val="0"/>
                <w:sz w:val="20"/>
              </w:rPr>
              <w:t xml:space="preserve">rticoli, saggi e </w:t>
            </w:r>
            <w:r>
              <w:rPr>
                <w:b w:val="0"/>
                <w:sz w:val="20"/>
              </w:rPr>
              <w:t>d</w:t>
            </w:r>
            <w:r w:rsidRPr="00BF7485">
              <w:rPr>
                <w:b w:val="0"/>
                <w:sz w:val="20"/>
              </w:rPr>
              <w:t xml:space="preserve">ispense </w:t>
            </w:r>
          </w:p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Dizionari, glossari e frasari specifici</w:t>
            </w:r>
          </w:p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Risorse informatiche online e offline</w:t>
            </w:r>
          </w:p>
          <w:p w:rsidR="00AF4DF1" w:rsidRDefault="00AF4DF1" w:rsidP="00AF4DF1">
            <w:pPr>
              <w:pStyle w:val="Titolo"/>
              <w:numPr>
                <w:ilvl w:val="0"/>
                <w:numId w:val="4"/>
              </w:numPr>
              <w:spacing w:before="120" w:after="120"/>
              <w:ind w:left="714" w:right="113" w:hanging="35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Cabine per l’interpretazione simultanea</w:t>
            </w:r>
          </w:p>
          <w:p w:rsidR="00AF4DF1" w:rsidRPr="000E0300" w:rsidRDefault="00AF4DF1" w:rsidP="00AF4DF1">
            <w:pPr>
              <w:pStyle w:val="Titolo"/>
              <w:numPr>
                <w:ilvl w:val="0"/>
                <w:numId w:val="3"/>
              </w:numPr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Indicazione di documenti e letture</w:t>
            </w:r>
          </w:p>
        </w:tc>
      </w:tr>
      <w:tr w:rsidR="00AF4DF1" w:rsidTr="0084683A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AF4DF1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Prova scritta propedeutica, seguita da esame orale  </w:t>
            </w:r>
          </w:p>
        </w:tc>
      </w:tr>
      <w:tr w:rsidR="00AF4DF1" w:rsidRPr="00563191" w:rsidTr="0084683A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AF4DF1" w:rsidRPr="00F523C6" w:rsidRDefault="00AF4DF1" w:rsidP="0084683A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US"/>
              </w:rPr>
              <w:t>P</w:t>
            </w:r>
            <w:r w:rsidRPr="000A4592">
              <w:rPr>
                <w:b w:val="0"/>
                <w:sz w:val="20"/>
                <w:lang w:val="en-US"/>
              </w:rPr>
              <w:t>ropaedeutic</w:t>
            </w:r>
            <w:r>
              <w:rPr>
                <w:b w:val="0"/>
                <w:sz w:val="20"/>
                <w:lang w:val="en-GB"/>
              </w:rPr>
              <w:t xml:space="preserve"> written text and oral exam</w:t>
            </w:r>
          </w:p>
        </w:tc>
      </w:tr>
      <w:tr w:rsidR="00AF4DF1" w:rsidTr="0084683A">
        <w:trPr>
          <w:trHeight w:val="839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C5650">
              <w:rPr>
                <w:sz w:val="20"/>
                <w:szCs w:val="20"/>
              </w:rPr>
              <w:t xml:space="preserve">Esami sostenuti dal candidato e votazioni riportate, con particolare riguardo agli insegnamenti di lingua francese; </w:t>
            </w:r>
          </w:p>
          <w:p w:rsidR="00AF4DF1" w:rsidRDefault="00AF4DF1" w:rsidP="0084683A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C5650">
              <w:rPr>
                <w:sz w:val="20"/>
                <w:szCs w:val="20"/>
              </w:rPr>
              <w:t>ivello di conoscenza della lingua francese e delle capacità traduttive IT-FR e FR-IT</w:t>
            </w:r>
            <w:r>
              <w:rPr>
                <w:sz w:val="20"/>
                <w:szCs w:val="20"/>
              </w:rPr>
              <w:t xml:space="preserve"> o eventuale colloquio volto a verificare il livello di conoscenza e le competenze possedute;</w:t>
            </w:r>
          </w:p>
          <w:p w:rsidR="00AF4DF1" w:rsidRDefault="00AF4DF1" w:rsidP="0084683A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Pr="008C5650">
              <w:rPr>
                <w:sz w:val="20"/>
                <w:szCs w:val="20"/>
              </w:rPr>
              <w:t xml:space="preserve">otivazioni del candidato nell’intraprendere il lavoro di tesi sull’argomento prospettato al docente; </w:t>
            </w:r>
          </w:p>
          <w:p w:rsidR="00AF4DF1" w:rsidRPr="00236EF7" w:rsidRDefault="00AF4DF1" w:rsidP="0084683A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9" w:hanging="283"/>
              <w:rPr>
                <w:sz w:val="20"/>
                <w:szCs w:val="20"/>
              </w:rPr>
            </w:pPr>
            <w:r w:rsidRPr="00236EF7">
              <w:rPr>
                <w:sz w:val="20"/>
                <w:szCs w:val="20"/>
              </w:rPr>
              <w:t>Interesse, originalità e qualità del progetto di tesi proposto.</w:t>
            </w:r>
          </w:p>
        </w:tc>
      </w:tr>
      <w:tr w:rsidR="00AF4DF1" w:rsidTr="0084683A">
        <w:trPr>
          <w:trHeight w:val="839"/>
        </w:trPr>
        <w:tc>
          <w:tcPr>
            <w:tcW w:w="1947" w:type="pct"/>
            <w:vAlign w:val="center"/>
          </w:tcPr>
          <w:p w:rsidR="00AF4DF1" w:rsidRDefault="00AF4DF1" w:rsidP="0084683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AF4DF1" w:rsidRDefault="00AF4DF1" w:rsidP="0084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073B">
              <w:rPr>
                <w:sz w:val="20"/>
                <w:szCs w:val="20"/>
              </w:rPr>
              <w:t>Prima dell’inizio delle lezioni o da concordare per e-mail col docente</w:t>
            </w:r>
          </w:p>
        </w:tc>
      </w:tr>
    </w:tbl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p w:rsidR="00AF4DF1" w:rsidRDefault="00AF4DF1" w:rsidP="00AF4DF1">
      <w:pPr>
        <w:ind w:left="540" w:right="506"/>
        <w:jc w:val="center"/>
        <w:rPr>
          <w:sz w:val="6"/>
          <w:szCs w:val="6"/>
        </w:rPr>
      </w:pPr>
    </w:p>
    <w:sectPr w:rsidR="00AF4DF1" w:rsidSect="00AD6BC6">
      <w:footerReference w:type="even" r:id="rId7"/>
      <w:footerReference w:type="default" r:id="rId8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7B" w:rsidRDefault="00821F7B" w:rsidP="00223B28">
      <w:r>
        <w:separator/>
      </w:r>
    </w:p>
  </w:endnote>
  <w:endnote w:type="continuationSeparator" w:id="0">
    <w:p w:rsidR="00821F7B" w:rsidRDefault="00821F7B" w:rsidP="0022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3" w:rsidRDefault="00E53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4D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F73" w:rsidRDefault="00821F7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3" w:rsidRDefault="00E53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4DF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F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04F73" w:rsidRDefault="00821F7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7B" w:rsidRDefault="00821F7B" w:rsidP="00223B28">
      <w:r>
        <w:separator/>
      </w:r>
    </w:p>
  </w:footnote>
  <w:footnote w:type="continuationSeparator" w:id="0">
    <w:p w:rsidR="00821F7B" w:rsidRDefault="00821F7B" w:rsidP="0022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4AF"/>
    <w:multiLevelType w:val="hybridMultilevel"/>
    <w:tmpl w:val="D01A1CA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007DC"/>
    <w:multiLevelType w:val="hybridMultilevel"/>
    <w:tmpl w:val="1F322998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32495"/>
    <w:multiLevelType w:val="hybridMultilevel"/>
    <w:tmpl w:val="31D2C434"/>
    <w:lvl w:ilvl="0" w:tplc="07FC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4DF1"/>
    <w:rsid w:val="00081409"/>
    <w:rsid w:val="000B073B"/>
    <w:rsid w:val="000F6B06"/>
    <w:rsid w:val="00115760"/>
    <w:rsid w:val="00153761"/>
    <w:rsid w:val="001857AD"/>
    <w:rsid w:val="001C0790"/>
    <w:rsid w:val="00202471"/>
    <w:rsid w:val="00223B28"/>
    <w:rsid w:val="002552EC"/>
    <w:rsid w:val="00352CDE"/>
    <w:rsid w:val="003E14E7"/>
    <w:rsid w:val="004605D7"/>
    <w:rsid w:val="00462AF7"/>
    <w:rsid w:val="00466B99"/>
    <w:rsid w:val="00480AD1"/>
    <w:rsid w:val="004C28A8"/>
    <w:rsid w:val="004D75E7"/>
    <w:rsid w:val="005328F3"/>
    <w:rsid w:val="00563191"/>
    <w:rsid w:val="005D7094"/>
    <w:rsid w:val="007349C7"/>
    <w:rsid w:val="007E1015"/>
    <w:rsid w:val="007E10B3"/>
    <w:rsid w:val="00821F7B"/>
    <w:rsid w:val="008C61DA"/>
    <w:rsid w:val="008D38AF"/>
    <w:rsid w:val="009662A9"/>
    <w:rsid w:val="009E364D"/>
    <w:rsid w:val="00A11B4D"/>
    <w:rsid w:val="00A80764"/>
    <w:rsid w:val="00AE09BA"/>
    <w:rsid w:val="00AF4DF1"/>
    <w:rsid w:val="00C17695"/>
    <w:rsid w:val="00C74F10"/>
    <w:rsid w:val="00CA5D04"/>
    <w:rsid w:val="00E535A5"/>
    <w:rsid w:val="00E71DC3"/>
    <w:rsid w:val="00F2742F"/>
    <w:rsid w:val="00F82905"/>
    <w:rsid w:val="00F9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4DF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F4DF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rsid w:val="00AF4DF1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F4DF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F4DF1"/>
  </w:style>
  <w:style w:type="paragraph" w:styleId="Paragrafoelenco">
    <w:name w:val="List Paragraph"/>
    <w:basedOn w:val="Normale"/>
    <w:uiPriority w:val="34"/>
    <w:qFormat/>
    <w:rsid w:val="00AF4DF1"/>
    <w:pPr>
      <w:ind w:left="720"/>
      <w:contextualSpacing/>
    </w:pPr>
  </w:style>
  <w:style w:type="paragraph" w:customStyle="1" w:styleId="Default">
    <w:name w:val="Default"/>
    <w:rsid w:val="00AF4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36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2017-09-22T13:36:00Z</dcterms:created>
  <dcterms:modified xsi:type="dcterms:W3CDTF">2017-10-10T15:14:00Z</dcterms:modified>
</cp:coreProperties>
</file>